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D159" w14:textId="5EEDD9F8" w:rsidR="00D00E2D" w:rsidRDefault="00D00E2D" w:rsidP="00D00E2D">
      <w:pPr>
        <w:rPr>
          <w:rtl/>
        </w:rPr>
      </w:pPr>
      <w:bookmarkStart w:id="0" w:name="_Toc63694448"/>
      <w:bookmarkStart w:id="1" w:name="_Toc86867436"/>
      <w:r>
        <w:rPr>
          <w:rFonts w:hint="cs"/>
          <w:rtl/>
        </w:rPr>
        <w:t>* עפ"י: "ואשיבה", אמונה, עמ' 212</w:t>
      </w:r>
    </w:p>
    <w:p w14:paraId="4BB77012" w14:textId="77777777" w:rsidR="00D00E2D" w:rsidRPr="00D00E2D" w:rsidRDefault="00D00E2D" w:rsidP="00D00E2D">
      <w:pPr>
        <w:rPr>
          <w:rtl/>
        </w:rPr>
      </w:pPr>
    </w:p>
    <w:p w14:paraId="483EBC8E" w14:textId="06E981D7" w:rsidR="00D00E2D" w:rsidRDefault="00D00E2D" w:rsidP="00D00E2D">
      <w:pPr>
        <w:pStyle w:val="3"/>
        <w:rPr>
          <w:rtl/>
        </w:rPr>
      </w:pPr>
      <w:r w:rsidRPr="00D343BC">
        <w:rPr>
          <w:rFonts w:hint="cs"/>
          <w:rtl/>
        </w:rPr>
        <w:t>מדוע מתאבלים בספירת העומר</w:t>
      </w:r>
      <w:r>
        <w:rPr>
          <w:rFonts w:hint="cs"/>
          <w:rtl/>
        </w:rPr>
        <w:t>?</w:t>
      </w:r>
      <w:bookmarkEnd w:id="0"/>
      <w:bookmarkEnd w:id="1"/>
    </w:p>
    <w:p w14:paraId="29D46975" w14:textId="4726361B" w:rsidR="00D00E2D" w:rsidRPr="00D343BC" w:rsidRDefault="00D00E2D" w:rsidP="00D00E2D">
      <w:pPr>
        <w:pStyle w:val="a6"/>
      </w:pPr>
      <w:r w:rsidRPr="00D343BC">
        <w:rPr>
          <w:rFonts w:hint="cs"/>
          <w:rtl/>
        </w:rPr>
        <w:t xml:space="preserve">מה עניינה של </w:t>
      </w:r>
      <w:r>
        <w:rPr>
          <w:rFonts w:hint="cs"/>
          <w:rtl/>
        </w:rPr>
        <w:t>ה</w:t>
      </w:r>
      <w:r w:rsidRPr="00D343BC">
        <w:rPr>
          <w:rFonts w:hint="cs"/>
          <w:rtl/>
        </w:rPr>
        <w:t xml:space="preserve">אבלות </w:t>
      </w:r>
      <w:r>
        <w:rPr>
          <w:rFonts w:hint="cs"/>
          <w:rtl/>
        </w:rPr>
        <w:t>ב</w:t>
      </w:r>
      <w:r w:rsidRPr="00D343BC">
        <w:rPr>
          <w:rFonts w:hint="cs"/>
          <w:rtl/>
        </w:rPr>
        <w:t>ספירת העומר</w:t>
      </w:r>
      <w:r>
        <w:rPr>
          <w:rFonts w:hint="cs"/>
          <w:rtl/>
        </w:rPr>
        <w:t xml:space="preserve">? </w:t>
      </w:r>
      <w:r w:rsidRPr="00D343BC">
        <w:rPr>
          <w:rFonts w:hint="cs"/>
          <w:rtl/>
        </w:rPr>
        <w:t xml:space="preserve">הרי </w:t>
      </w:r>
      <w:r>
        <w:rPr>
          <w:rFonts w:hint="cs"/>
          <w:rtl/>
        </w:rPr>
        <w:t>ישנם עוד תאריכים רבים שאירעו בהם אירועים קשים לעמנו במהלך הדורות</w:t>
      </w:r>
      <w:r>
        <w:rPr>
          <w:rFonts w:hint="cs"/>
          <w:rtl/>
        </w:rPr>
        <w:t>!</w:t>
      </w:r>
    </w:p>
    <w:p w14:paraId="54DE671F" w14:textId="50353835" w:rsidR="00D00E2D" w:rsidRDefault="00D00E2D" w:rsidP="00D00E2D">
      <w:pPr>
        <w:rPr>
          <w:rtl/>
        </w:rPr>
      </w:pPr>
      <w:r>
        <w:rPr>
          <w:rFonts w:hint="cs"/>
          <w:rtl/>
        </w:rPr>
        <w:t>אכן, לצערנו ידע עמנו אירועים קשים רבים במהלך הדורות, בוודאי אחרי השואה. ועם זאת, לְמה שאירע בימי ספירת העומר יש משמעות מיוחדת</w:t>
      </w:r>
      <w:r>
        <w:rPr>
          <w:rFonts w:hint="cs"/>
          <w:rtl/>
        </w:rPr>
        <w:t>.</w:t>
      </w:r>
    </w:p>
    <w:p w14:paraId="7327043F" w14:textId="61535EDE" w:rsidR="00D00E2D" w:rsidRDefault="00D00E2D" w:rsidP="00D00E2D">
      <w:pPr>
        <w:rPr>
          <w:rtl/>
        </w:rPr>
      </w:pPr>
      <w:r>
        <w:rPr>
          <w:rFonts w:hint="cs"/>
          <w:rtl/>
        </w:rPr>
        <w:t xml:space="preserve">הסיבה לאבלות בימים אלו היא מותם של עשרים וארבעה </w:t>
      </w:r>
      <w:r w:rsidRPr="00D343BC">
        <w:rPr>
          <w:rFonts w:hint="cs"/>
          <w:rtl/>
        </w:rPr>
        <w:t xml:space="preserve">אלף תלמידי </w:t>
      </w:r>
      <w:r>
        <w:rPr>
          <w:rFonts w:hint="cs"/>
          <w:rtl/>
        </w:rPr>
        <w:t xml:space="preserve">רבי עקיבא </w:t>
      </w:r>
      <w:r w:rsidRPr="00D343BC">
        <w:rPr>
          <w:rFonts w:hint="cs"/>
          <w:rtl/>
        </w:rPr>
        <w:t xml:space="preserve">באותו פרק זמן. </w:t>
      </w:r>
      <w:r>
        <w:rPr>
          <w:rFonts w:hint="cs"/>
          <w:rtl/>
        </w:rPr>
        <w:t xml:space="preserve">כל יהודי הוא עולם ומלואו, ועל כל יהודי שמת יש לבכות ולהתאבל, בוודאי אם מת בנסיבות טרגיות. אך כאן האסון אינו מסתכם במותם של יהודים, אלא </w:t>
      </w:r>
      <w:r w:rsidRPr="00D00E2D">
        <w:rPr>
          <w:rFonts w:hint="cs"/>
          <w:b/>
          <w:bCs/>
          <w:rtl/>
        </w:rPr>
        <w:t>בחורבן עמוק וכמעט מוחלט של עולם התורה</w:t>
      </w:r>
      <w:r>
        <w:rPr>
          <w:rFonts w:hint="cs"/>
          <w:rtl/>
        </w:rPr>
        <w:t xml:space="preserve"> בפרק זמן קצר!</w:t>
      </w:r>
    </w:p>
    <w:p w14:paraId="3ADAEBFC" w14:textId="566B5D5D" w:rsidR="00D00E2D" w:rsidRDefault="00D00E2D" w:rsidP="00D00E2D">
      <w:pPr>
        <w:rPr>
          <w:rtl/>
        </w:rPr>
      </w:pPr>
      <w:r w:rsidRPr="00D343BC">
        <w:rPr>
          <w:rFonts w:hint="cs"/>
          <w:rtl/>
        </w:rPr>
        <w:t xml:space="preserve">הגמרא </w:t>
      </w:r>
      <w:r>
        <w:rPr>
          <w:rFonts w:hint="cs"/>
          <w:rtl/>
        </w:rPr>
        <w:t xml:space="preserve">מתארת את המשמעות הרוחנית החמורה שהייתה לאסון הזה: </w:t>
      </w:r>
      <w:r>
        <w:rPr>
          <w:rtl/>
        </w:rPr>
        <w:t>"</w:t>
      </w:r>
      <w:r w:rsidRPr="00D343BC">
        <w:rPr>
          <w:rFonts w:hint="cs"/>
          <w:rtl/>
        </w:rPr>
        <w:t>והיה העולם שמם</w:t>
      </w:r>
      <w:r>
        <w:rPr>
          <w:rtl/>
        </w:rPr>
        <w:t>"</w:t>
      </w:r>
      <w:r>
        <w:rPr>
          <w:rFonts w:hint="cs"/>
          <w:rtl/>
        </w:rPr>
        <w:t>. בעקבות מות כל אלפי תלמידי החכמים הללו</w:t>
      </w:r>
      <w:r w:rsidRPr="00D343BC">
        <w:rPr>
          <w:rFonts w:hint="cs"/>
          <w:rtl/>
        </w:rPr>
        <w:t xml:space="preserve"> השתררה שממה רוחנית מאין כמו</w:t>
      </w:r>
      <w:r>
        <w:rPr>
          <w:rFonts w:hint="cs"/>
          <w:rtl/>
        </w:rPr>
        <w:t>ת</w:t>
      </w:r>
      <w:r w:rsidRPr="00D343BC">
        <w:rPr>
          <w:rFonts w:hint="cs"/>
          <w:rtl/>
        </w:rPr>
        <w:t>ה</w:t>
      </w:r>
      <w:r>
        <w:rPr>
          <w:rFonts w:hint="cs"/>
          <w:rtl/>
        </w:rPr>
        <w:t>!</w:t>
      </w:r>
      <w:r w:rsidRPr="00D343BC">
        <w:rPr>
          <w:rFonts w:hint="cs"/>
          <w:rtl/>
        </w:rPr>
        <w:t xml:space="preserve"> </w:t>
      </w:r>
      <w:r>
        <w:rPr>
          <w:rFonts w:hint="cs"/>
          <w:rtl/>
        </w:rPr>
        <w:t xml:space="preserve">נפער </w:t>
      </w:r>
      <w:r w:rsidRPr="00D343BC">
        <w:rPr>
          <w:rFonts w:hint="cs"/>
          <w:rtl/>
        </w:rPr>
        <w:t xml:space="preserve">חלל </w:t>
      </w:r>
      <w:r>
        <w:rPr>
          <w:rFonts w:hint="cs"/>
          <w:rtl/>
        </w:rPr>
        <w:t xml:space="preserve">עמוק ונורא </w:t>
      </w:r>
      <w:r w:rsidRPr="00D343BC">
        <w:rPr>
          <w:rFonts w:hint="cs"/>
          <w:rtl/>
        </w:rPr>
        <w:t>בבת אחת</w:t>
      </w:r>
      <w:r>
        <w:rPr>
          <w:rFonts w:hint="cs"/>
          <w:rtl/>
        </w:rPr>
        <w:t>!</w:t>
      </w:r>
    </w:p>
    <w:p w14:paraId="0315E9C0" w14:textId="4C510F11" w:rsidR="00D00E2D" w:rsidRDefault="00D00E2D" w:rsidP="00D00E2D">
      <w:pPr>
        <w:rPr>
          <w:rtl/>
        </w:rPr>
      </w:pPr>
      <w:r>
        <w:rPr>
          <w:rFonts w:hint="cs"/>
          <w:rtl/>
        </w:rPr>
        <w:t xml:space="preserve">מלבד האבלות על האסון עצמו, ימים אלו באים גם להסב את תשומת ליבנו לגורם הרוחני שהביא </w:t>
      </w:r>
      <w:r>
        <w:rPr>
          <w:rFonts w:hint="cs"/>
          <w:rtl/>
        </w:rPr>
        <w:t xml:space="preserve">לכך – </w:t>
      </w:r>
      <w:r>
        <w:rPr>
          <w:rFonts w:hint="cs"/>
          <w:rtl/>
        </w:rPr>
        <w:t>"</w:t>
      </w:r>
      <w:r w:rsidRPr="00D00E2D">
        <w:rPr>
          <w:b/>
          <w:bCs/>
          <w:rtl/>
        </w:rPr>
        <w:t>שלא נהגו כבוד זה לזה</w:t>
      </w:r>
      <w:r>
        <w:rPr>
          <w:rFonts w:hint="cs"/>
          <w:rtl/>
        </w:rPr>
        <w:t>".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האבלות בימים אלו באה לחנך אותנו </w:t>
      </w:r>
      <w:r w:rsidRPr="00D00E2D">
        <w:rPr>
          <w:rFonts w:hint="cs"/>
          <w:b/>
          <w:bCs/>
          <w:rtl/>
        </w:rPr>
        <w:t>איך לנהוג זה בזה</w:t>
      </w:r>
      <w:r>
        <w:rPr>
          <w:rFonts w:hint="cs"/>
          <w:rtl/>
        </w:rPr>
        <w:t xml:space="preserve">. מנהגי האבלות מדגישים לנו כי </w:t>
      </w:r>
      <w:r w:rsidRPr="00D00E2D">
        <w:rPr>
          <w:rFonts w:hint="cs"/>
          <w:b/>
          <w:bCs/>
          <w:rtl/>
        </w:rPr>
        <w:t>גם כשאנו מתנגדים זה לדעותיו של זה, וגם כשאנו שונים זה מזה – עלינו להיזהר זה בכבודו של זה</w:t>
      </w:r>
      <w:r w:rsidRPr="00D00E2D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יש כאן </w:t>
      </w:r>
      <w:r w:rsidRPr="00D343BC">
        <w:rPr>
          <w:rFonts w:hint="cs"/>
          <w:rtl/>
        </w:rPr>
        <w:t>מסר חינוכי אדיר</w:t>
      </w:r>
      <w:r>
        <w:rPr>
          <w:rFonts w:hint="cs"/>
          <w:rtl/>
        </w:rPr>
        <w:t xml:space="preserve"> </w:t>
      </w:r>
      <w:r w:rsidRPr="00D343BC">
        <w:rPr>
          <w:rFonts w:hint="cs"/>
          <w:rtl/>
        </w:rPr>
        <w:t xml:space="preserve">לדורות, </w:t>
      </w:r>
      <w:r>
        <w:rPr>
          <w:rFonts w:hint="cs"/>
          <w:rtl/>
        </w:rPr>
        <w:t xml:space="preserve">המלמד </w:t>
      </w:r>
      <w:r w:rsidRPr="00D343BC">
        <w:rPr>
          <w:rFonts w:hint="cs"/>
          <w:rtl/>
        </w:rPr>
        <w:t xml:space="preserve">כמה </w:t>
      </w:r>
      <w:r>
        <w:rPr>
          <w:rFonts w:hint="cs"/>
          <w:rtl/>
        </w:rPr>
        <w:t>חמורה מציאות שיהודים אינם נוהגים כבוד זה בזה</w:t>
      </w:r>
      <w:r>
        <w:rPr>
          <w:rFonts w:hint="cs"/>
          <w:rtl/>
        </w:rPr>
        <w:t>!</w:t>
      </w:r>
    </w:p>
    <w:p w14:paraId="7AB50D5D" w14:textId="2D30C3BF" w:rsidR="00D00E2D" w:rsidRDefault="00D00E2D" w:rsidP="00D00E2D">
      <w:pPr>
        <w:rPr>
          <w:rtl/>
        </w:rPr>
      </w:pPr>
      <w:r>
        <w:rPr>
          <w:rFonts w:hint="cs"/>
          <w:rtl/>
        </w:rPr>
        <w:lastRenderedPageBreak/>
        <w:t>דיברנו על האסון עצמו ועל הגורם הרוחני שקדם לו, אך מן הראוי להתבונן גם על התקומה מהאסון הזה ולתהות: איך אחרי אובדן חמור כל כך הצליח עולם התורה להשתקם? איך ייתכן שאותו דור, חרף האסון הנורא שפקד אותו</w:t>
      </w:r>
      <w:r>
        <w:rPr>
          <w:rFonts w:hint="cs"/>
          <w:rtl/>
        </w:rPr>
        <w:t>?</w:t>
      </w:r>
    </w:p>
    <w:p w14:paraId="0ECEA5D9" w14:textId="42D25013" w:rsidR="00D00E2D" w:rsidRDefault="00D00E2D" w:rsidP="00D00E2D">
      <w:pPr>
        <w:rPr>
          <w:rtl/>
        </w:rPr>
      </w:pPr>
      <w:r>
        <w:rPr>
          <w:rFonts w:hint="cs"/>
          <w:rtl/>
        </w:rPr>
        <w:t>רבי עקיבא, שכבר היה מבוגר מאוד, ראה לנגד עיניו את כל המפעל התורני האדיר שהקים בחייו – קורס ונעלם! מה היה עושה אדם רגיל במצבו של רבי עקיבא –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מתייאש? שוקע באבלותו?</w:t>
      </w:r>
    </w:p>
    <w:p w14:paraId="28BD2005" w14:textId="54140D43" w:rsidR="00D00E2D" w:rsidRDefault="00D00E2D" w:rsidP="00D00E2D">
      <w:pPr>
        <w:rPr>
          <w:rtl/>
        </w:rPr>
      </w:pPr>
      <w:r>
        <w:rPr>
          <w:rFonts w:hint="cs"/>
          <w:rtl/>
        </w:rPr>
        <w:t>אך רבי עקיבא בחר בדרך אחרת לחלוטין</w:t>
      </w:r>
      <w:r>
        <w:rPr>
          <w:rFonts w:hint="cs"/>
          <w:rtl/>
        </w:rPr>
        <w:t xml:space="preserve">, הוא </w:t>
      </w:r>
      <w:r>
        <w:rPr>
          <w:rFonts w:hint="cs"/>
          <w:rtl/>
        </w:rPr>
        <w:t>לא פרש לביתו, לא התייאש מהמצב ולא שקע באבלותו</w:t>
      </w:r>
      <w:r>
        <w:rPr>
          <w:rFonts w:hint="cs"/>
          <w:rtl/>
        </w:rPr>
        <w:t xml:space="preserve"> – </w:t>
      </w:r>
      <w:r>
        <w:rPr>
          <w:rFonts w:hint="cs"/>
          <w:rtl/>
        </w:rPr>
        <w:t>אלא מיהר לקום ולבנות מחדש את עולם התורה! אסף אליו תלמידים צעירים, גידל וטיפח אותם, וכך הצמיח את גדולי החכמים שבדור הבא</w:t>
      </w:r>
      <w:r>
        <w:rPr>
          <w:rFonts w:hint="cs"/>
          <w:rtl/>
        </w:rPr>
        <w:t>!</w:t>
      </w:r>
    </w:p>
    <w:p w14:paraId="7A821D67" w14:textId="40D63642" w:rsidR="00D00E2D" w:rsidRDefault="00D00E2D" w:rsidP="00D00E2D">
      <w:pPr>
        <w:rPr>
          <w:rtl/>
        </w:rPr>
      </w:pPr>
      <w:r>
        <w:rPr>
          <w:rFonts w:hint="cs"/>
          <w:rtl/>
        </w:rPr>
        <w:t xml:space="preserve">הגמרא מעידה כי </w:t>
      </w:r>
      <w:r>
        <w:rPr>
          <w:rFonts w:hint="cs"/>
          <w:rtl/>
        </w:rPr>
        <w:t>ה</w:t>
      </w:r>
      <w:r>
        <w:rPr>
          <w:rFonts w:hint="cs"/>
          <w:rtl/>
        </w:rPr>
        <w:t>תלמידי</w:t>
      </w:r>
      <w:r>
        <w:rPr>
          <w:rFonts w:hint="cs"/>
          <w:rtl/>
        </w:rPr>
        <w:t xml:space="preserve">ם </w:t>
      </w:r>
      <w:r>
        <w:rPr>
          <w:rFonts w:hint="cs"/>
          <w:rtl/>
        </w:rPr>
        <w:t>שהעמיד בזקנותו וחרף כאבו ואבלו הבלתי נתפס – "</w:t>
      </w:r>
      <w:r>
        <w:rPr>
          <w:rtl/>
        </w:rPr>
        <w:t>הם הם העמידו תורה אותה שעה</w:t>
      </w:r>
      <w:r>
        <w:rPr>
          <w:rFonts w:hint="cs"/>
          <w:rtl/>
        </w:rPr>
        <w:t>". כך הקים רבי עקיבא את עולם התורה מחדש, בעשר אצבעותיו, מתוך מסירות נפש, אמונה בדרכו ובד' וביטחון ביכולת שלו להצליח.</w:t>
      </w:r>
    </w:p>
    <w:p w14:paraId="6CAF0475" w14:textId="151AF8A7" w:rsidR="00D00E2D" w:rsidRDefault="00D00E2D" w:rsidP="00D00E2D">
      <w:pPr>
        <w:rPr>
          <w:rtl/>
        </w:rPr>
      </w:pPr>
      <w:r>
        <w:rPr>
          <w:rFonts w:hint="cs"/>
          <w:rtl/>
        </w:rPr>
        <w:t xml:space="preserve">האבלות </w:t>
      </w:r>
      <w:r>
        <w:rPr>
          <w:rFonts w:hint="cs"/>
          <w:rtl/>
        </w:rPr>
        <w:t xml:space="preserve">בספירת העומר </w:t>
      </w:r>
      <w:r>
        <w:rPr>
          <w:rFonts w:hint="cs"/>
          <w:rtl/>
        </w:rPr>
        <w:t xml:space="preserve">מלמדת אותנו על </w:t>
      </w:r>
      <w:r w:rsidRPr="00D00E2D">
        <w:rPr>
          <w:rFonts w:hint="cs"/>
          <w:b/>
          <w:bCs/>
          <w:rtl/>
        </w:rPr>
        <w:t>כוחם של יחידים</w:t>
      </w:r>
      <w:r>
        <w:rPr>
          <w:rFonts w:hint="cs"/>
          <w:rtl/>
        </w:rPr>
        <w:t xml:space="preserve">, כמה כל אחד יכול לעשות, </w:t>
      </w:r>
      <w:r w:rsidRPr="00D00E2D">
        <w:rPr>
          <w:rFonts w:hint="cs"/>
          <w:b/>
          <w:bCs/>
          <w:rtl/>
        </w:rPr>
        <w:t>איך בכוחו של כל אדם לשנות את העולם</w:t>
      </w:r>
      <w:r>
        <w:rPr>
          <w:rFonts w:hint="cs"/>
          <w:rtl/>
        </w:rPr>
        <w:t xml:space="preserve"> – </w:t>
      </w:r>
      <w:r>
        <w:rPr>
          <w:rFonts w:hint="cs"/>
          <w:rtl/>
        </w:rPr>
        <w:t>אפילו במצבים הקשים והמייאשים ביותר!</w:t>
      </w:r>
    </w:p>
    <w:p w14:paraId="114AE914" w14:textId="22842A61" w:rsidR="00D00E2D" w:rsidRDefault="00D00E2D" w:rsidP="00D00E2D">
      <w:pPr>
        <w:rPr>
          <w:rtl/>
        </w:rPr>
      </w:pPr>
      <w:r>
        <w:rPr>
          <w:rFonts w:hint="cs"/>
          <w:rtl/>
        </w:rPr>
        <w:t xml:space="preserve">האבלות בימי ספירת העומר היא בראש ובראשונה אבלות על חורבן עולם התורה בבת אחת. אך מגמתה של האבלות הזאת אינה לשקוע בדכדוך – אלא ללמד </w:t>
      </w:r>
      <w:r w:rsidRPr="00D00E2D">
        <w:rPr>
          <w:rFonts w:hint="cs"/>
          <w:b/>
          <w:bCs/>
          <w:rtl/>
        </w:rPr>
        <w:t>איך להימנע מלהגיע למצב כזה שוב, איך עלינו לנהוג זה בזה</w:t>
      </w:r>
      <w:r>
        <w:rPr>
          <w:rFonts w:hint="cs"/>
          <w:rtl/>
        </w:rPr>
        <w:t xml:space="preserve">. אבלות זו גם מלמדת אותנו </w:t>
      </w:r>
      <w:r w:rsidRPr="00D00E2D">
        <w:rPr>
          <w:rFonts w:hint="cs"/>
          <w:b/>
          <w:bCs/>
          <w:rtl/>
        </w:rPr>
        <w:t>שלא להתייאש</w:t>
      </w:r>
      <w:r>
        <w:rPr>
          <w:rFonts w:hint="cs"/>
          <w:rtl/>
        </w:rPr>
        <w:t>, אלא תמיד להאמין ביכולת לשנות את המציאות, אפילו במצבים הקשים ביותר.</w:t>
      </w:r>
    </w:p>
    <w:p w14:paraId="01DC5F63" w14:textId="435AA142" w:rsidR="00D00E2D" w:rsidRDefault="00D00E2D" w:rsidP="00D00E2D">
      <w:pPr>
        <w:rPr>
          <w:rtl/>
        </w:rPr>
      </w:pPr>
      <w:r>
        <w:rPr>
          <w:rFonts w:hint="cs"/>
          <w:rtl/>
        </w:rPr>
        <w:lastRenderedPageBreak/>
        <w:t xml:space="preserve">אילו לא </w:t>
      </w:r>
      <w:r w:rsidRPr="00D343BC">
        <w:rPr>
          <w:rFonts w:hint="cs"/>
          <w:rtl/>
        </w:rPr>
        <w:t xml:space="preserve">היו </w:t>
      </w:r>
      <w:r>
        <w:rPr>
          <w:rFonts w:hint="cs"/>
          <w:rtl/>
        </w:rPr>
        <w:t xml:space="preserve">נקבעים </w:t>
      </w:r>
      <w:r w:rsidRPr="00D343BC">
        <w:rPr>
          <w:rFonts w:hint="cs"/>
          <w:rtl/>
        </w:rPr>
        <w:t>ימי האבל</w:t>
      </w:r>
      <w:r>
        <w:rPr>
          <w:rFonts w:hint="cs"/>
          <w:rtl/>
        </w:rPr>
        <w:t xml:space="preserve">ות הללו – </w:t>
      </w:r>
      <w:r w:rsidRPr="00D343BC">
        <w:rPr>
          <w:rFonts w:hint="cs"/>
          <w:rtl/>
        </w:rPr>
        <w:t>איך היינו זוכרים</w:t>
      </w:r>
      <w:r>
        <w:rPr>
          <w:rFonts w:hint="cs"/>
          <w:rtl/>
        </w:rPr>
        <w:t xml:space="preserve"> זאת? מניין היינו</w:t>
      </w:r>
      <w:r w:rsidRPr="00D343BC">
        <w:rPr>
          <w:rFonts w:hint="cs"/>
          <w:rtl/>
        </w:rPr>
        <w:t xml:space="preserve"> </w:t>
      </w:r>
      <w:r>
        <w:rPr>
          <w:rFonts w:hint="cs"/>
          <w:rtl/>
        </w:rPr>
        <w:t>שואבים את המסרים הללו?</w:t>
      </w:r>
    </w:p>
    <w:p w14:paraId="79D02E9B" w14:textId="16599D05" w:rsidR="00D00E2D" w:rsidRDefault="00D00E2D" w:rsidP="00D00E2D">
      <w:pPr>
        <w:rPr>
          <w:rtl/>
        </w:rPr>
      </w:pPr>
      <w:r>
        <w:rPr>
          <w:rFonts w:hint="cs"/>
          <w:rtl/>
        </w:rPr>
        <w:t xml:space="preserve">אכן, </w:t>
      </w:r>
      <w:r>
        <w:rPr>
          <w:rFonts w:hint="cs"/>
          <w:rtl/>
        </w:rPr>
        <w:t xml:space="preserve">מי שמתמקד רק בסימני האבלות החיצוניים, בלי להזדהות עם המסרים הערכיים שהם מבטאים – מחמיץ את העיקר. מתוך ימים אלו אנו צריכים </w:t>
      </w:r>
      <w:r w:rsidRPr="00D00E2D">
        <w:rPr>
          <w:rFonts w:hint="cs"/>
          <w:b/>
          <w:bCs/>
          <w:rtl/>
        </w:rPr>
        <w:t>להתחזק ולהשתפר</w:t>
      </w:r>
      <w:r>
        <w:rPr>
          <w:rFonts w:hint="cs"/>
          <w:rtl/>
        </w:rPr>
        <w:t>, וכמו אז, באותם ימים קשים ואפלים, עלינו להתמלא גם היום בעוצמות של תורה ואמונה ו</w:t>
      </w:r>
      <w:r w:rsidRPr="00D343BC">
        <w:rPr>
          <w:rFonts w:hint="cs"/>
          <w:rtl/>
        </w:rPr>
        <w:t>למלא את כל ארץ ישראל בתורה</w:t>
      </w:r>
      <w:r>
        <w:rPr>
          <w:rFonts w:hint="cs"/>
          <w:rtl/>
        </w:rPr>
        <w:t>!</w:t>
      </w:r>
    </w:p>
    <w:p w14:paraId="7E78388B" w14:textId="77777777" w:rsidR="00D00E2D" w:rsidRDefault="00D00E2D" w:rsidP="00D00E2D">
      <w:pPr>
        <w:rPr>
          <w:rtl/>
        </w:rPr>
      </w:pPr>
    </w:p>
    <w:p w14:paraId="6496C265" w14:textId="77777777" w:rsidR="00D00E2D" w:rsidRPr="00D00E2D" w:rsidRDefault="00D00E2D" w:rsidP="00D00E2D">
      <w:pPr>
        <w:rPr>
          <w:highlight w:val="yellow"/>
          <w:rtl/>
        </w:rPr>
      </w:pPr>
      <w:r w:rsidRPr="00D00E2D">
        <w:rPr>
          <w:rFonts w:hint="cs"/>
          <w:highlight w:val="yellow"/>
          <w:rtl/>
        </w:rPr>
        <w:t>* משפט להבלטה:</w:t>
      </w:r>
    </w:p>
    <w:p w14:paraId="76919D93" w14:textId="2E894E8A" w:rsidR="00F10823" w:rsidRDefault="00D00E2D" w:rsidP="00D00E2D">
      <w:r w:rsidRPr="00D00E2D">
        <w:rPr>
          <w:rFonts w:hint="cs"/>
          <w:highlight w:val="yellow"/>
          <w:rtl/>
        </w:rPr>
        <w:t>יש כאן מסר חינוכי אדיר לדורות, המלמד כמה חמורה מציאות שיהודים אינם נוהגים כבוד זה בזה!</w:t>
      </w:r>
    </w:p>
    <w:sectPr w:rsidR="00F10823" w:rsidSect="007D65A2">
      <w:headerReference w:type="default" r:id="rId4"/>
      <w:footerReference w:type="default" r:id="rId5"/>
      <w:footnotePr>
        <w:numRestart w:val="eachSect"/>
      </w:footnotePr>
      <w:pgSz w:w="8392" w:h="11907" w:code="11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784724205"/>
      <w:docPartObj>
        <w:docPartGallery w:val="Page Numbers (Bottom of Page)"/>
        <w:docPartUnique/>
      </w:docPartObj>
    </w:sdtPr>
    <w:sdtContent>
      <w:p w14:paraId="1ACDAAC1" w14:textId="77777777" w:rsidR="00C02088" w:rsidRDefault="00000000">
        <w:pPr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rtl/>
            <w:cs/>
          </w:rPr>
          <w:instrText>\* MERGEFORMAT</w:instrText>
        </w:r>
        <w:r>
          <w:fldChar w:fldCharType="separate"/>
        </w:r>
        <w:r w:rsidRPr="004F1948">
          <w:rPr>
            <w:noProof/>
            <w:rtl/>
            <w:lang w:val="he-IL"/>
          </w:rPr>
          <w:t>337</w:t>
        </w:r>
        <w:r>
          <w:fldChar w:fldCharType="end"/>
        </w:r>
      </w:p>
    </w:sdtContent>
  </w:sdt>
  <w:p w14:paraId="5F1C5CCB" w14:textId="77777777" w:rsidR="00C02088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E7E8" w14:textId="77777777" w:rsidR="00C02088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grammar="clean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2D"/>
    <w:rsid w:val="00146BCF"/>
    <w:rsid w:val="0017363C"/>
    <w:rsid w:val="001C3C8F"/>
    <w:rsid w:val="00237BFA"/>
    <w:rsid w:val="0049388E"/>
    <w:rsid w:val="004F1AB7"/>
    <w:rsid w:val="00517312"/>
    <w:rsid w:val="005817F3"/>
    <w:rsid w:val="005D083A"/>
    <w:rsid w:val="00641EA9"/>
    <w:rsid w:val="007C4A67"/>
    <w:rsid w:val="00896FBA"/>
    <w:rsid w:val="008A1344"/>
    <w:rsid w:val="009104A4"/>
    <w:rsid w:val="00AE7608"/>
    <w:rsid w:val="00AF2D9B"/>
    <w:rsid w:val="00B20844"/>
    <w:rsid w:val="00BE15D2"/>
    <w:rsid w:val="00D00E2D"/>
    <w:rsid w:val="00DA34FA"/>
    <w:rsid w:val="00F1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52CD9"/>
  <w15:chartTrackingRefBased/>
  <w15:docId w15:val="{A2449D0C-BFEF-456D-ADF9-31A5B976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E2D"/>
    <w:pPr>
      <w:bidi/>
      <w:spacing w:before="120" w:after="0" w:line="360" w:lineRule="auto"/>
      <w:ind w:firstLine="170"/>
      <w:jc w:val="both"/>
    </w:pPr>
    <w:rPr>
      <w:rFonts w:ascii="Times New Roman" w:eastAsia="Times New Roman" w:hAnsi="Times New Roman" w:cs="David"/>
      <w:kern w:val="0"/>
      <w:sz w:val="20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49388E"/>
    <w:pPr>
      <w:keepNext/>
      <w:keepLines/>
      <w:spacing w:before="240"/>
      <w:ind w:firstLine="0"/>
      <w:jc w:val="center"/>
      <w:outlineLvl w:val="0"/>
    </w:pPr>
    <w:rPr>
      <w:rFonts w:ascii="Arial" w:hAnsi="Arial"/>
      <w:b/>
      <w:bCs/>
      <w:i/>
      <w:sz w:val="30"/>
      <w:szCs w:val="90"/>
      <w:u w:color="000000"/>
    </w:rPr>
  </w:style>
  <w:style w:type="paragraph" w:styleId="2">
    <w:name w:val="heading 2"/>
    <w:basedOn w:val="a"/>
    <w:next w:val="a"/>
    <w:link w:val="20"/>
    <w:unhideWhenUsed/>
    <w:qFormat/>
    <w:rsid w:val="0049388E"/>
    <w:pPr>
      <w:keepNext/>
      <w:keepLines/>
      <w:spacing w:before="1200"/>
      <w:ind w:firstLine="0"/>
      <w:jc w:val="right"/>
      <w:outlineLvl w:val="1"/>
    </w:pPr>
    <w:rPr>
      <w:rFonts w:asciiTheme="majorHAnsi" w:eastAsiaTheme="majorEastAsia" w:hAnsiTheme="majorHAnsi"/>
      <w:bCs/>
      <w:sz w:val="26"/>
      <w:szCs w:val="70"/>
    </w:rPr>
  </w:style>
  <w:style w:type="paragraph" w:styleId="3">
    <w:name w:val="heading 3"/>
    <w:basedOn w:val="a"/>
    <w:next w:val="a"/>
    <w:link w:val="30"/>
    <w:unhideWhenUsed/>
    <w:qFormat/>
    <w:rsid w:val="0049388E"/>
    <w:pPr>
      <w:keepNext/>
      <w:keepLines/>
      <w:spacing w:before="40"/>
      <w:ind w:firstLine="0"/>
      <w:jc w:val="center"/>
      <w:outlineLvl w:val="2"/>
    </w:pPr>
    <w:rPr>
      <w:rFonts w:asciiTheme="majorHAnsi" w:eastAsiaTheme="majorEastAsia" w:hAnsiTheme="majorHAnsi"/>
      <w:bCs/>
      <w:sz w:val="24"/>
      <w:szCs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49388E"/>
    <w:pPr>
      <w:keepNext/>
      <w:spacing w:before="240" w:after="60" w:line="240" w:lineRule="auto"/>
      <w:ind w:firstLine="0"/>
      <w:outlineLvl w:val="3"/>
    </w:pPr>
    <w:rPr>
      <w:rFonts w:asciiTheme="minorHAnsi" w:eastAsiaTheme="minorHAnsi" w:hAnsiTheme="minorHAnsi"/>
      <w:b/>
      <w:bC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qFormat/>
    <w:rsid w:val="0049388E"/>
    <w:pPr>
      <w:ind w:left="567" w:right="567" w:firstLine="113"/>
    </w:pPr>
    <w:rPr>
      <w:i/>
    </w:rPr>
  </w:style>
  <w:style w:type="character" w:customStyle="1" w:styleId="a4">
    <w:name w:val="ציטוט תו"/>
    <w:basedOn w:val="a0"/>
    <w:link w:val="a3"/>
    <w:rsid w:val="0049388E"/>
    <w:rPr>
      <w:rFonts w:ascii="Times New Roman" w:eastAsia="Times New Roman" w:hAnsi="Times New Roman" w:cs="David"/>
      <w:i/>
      <w:sz w:val="20"/>
    </w:rPr>
  </w:style>
  <w:style w:type="character" w:customStyle="1" w:styleId="10">
    <w:name w:val="כותרת 1 תו"/>
    <w:basedOn w:val="a0"/>
    <w:link w:val="1"/>
    <w:rsid w:val="0049388E"/>
    <w:rPr>
      <w:rFonts w:ascii="Arial" w:eastAsia="Times New Roman" w:hAnsi="Arial" w:cs="David"/>
      <w:b/>
      <w:bCs/>
      <w:i/>
      <w:sz w:val="30"/>
      <w:szCs w:val="90"/>
      <w:u w:color="000000"/>
    </w:rPr>
  </w:style>
  <w:style w:type="character" w:customStyle="1" w:styleId="20">
    <w:name w:val="כותרת 2 תו"/>
    <w:basedOn w:val="a0"/>
    <w:link w:val="2"/>
    <w:rsid w:val="0049388E"/>
    <w:rPr>
      <w:rFonts w:asciiTheme="majorHAnsi" w:eastAsiaTheme="majorEastAsia" w:hAnsiTheme="majorHAnsi" w:cs="David"/>
      <w:bCs/>
      <w:sz w:val="26"/>
      <w:szCs w:val="70"/>
    </w:rPr>
  </w:style>
  <w:style w:type="character" w:customStyle="1" w:styleId="30">
    <w:name w:val="כותרת 3 תו"/>
    <w:basedOn w:val="a0"/>
    <w:link w:val="3"/>
    <w:rsid w:val="0049388E"/>
    <w:rPr>
      <w:rFonts w:asciiTheme="majorHAnsi" w:eastAsiaTheme="majorEastAsia" w:hAnsiTheme="majorHAnsi" w:cs="David"/>
      <w:bCs/>
      <w:sz w:val="24"/>
      <w:szCs w:val="28"/>
    </w:rPr>
  </w:style>
  <w:style w:type="character" w:customStyle="1" w:styleId="40">
    <w:name w:val="כותרת 4 תו"/>
    <w:basedOn w:val="a0"/>
    <w:link w:val="4"/>
    <w:uiPriority w:val="99"/>
    <w:rsid w:val="0049388E"/>
    <w:rPr>
      <w:rFonts w:cs="David"/>
      <w:b/>
      <w:bCs/>
      <w:szCs w:val="24"/>
    </w:rPr>
  </w:style>
  <w:style w:type="character" w:customStyle="1" w:styleId="a5">
    <w:name w:val="מקור"/>
    <w:basedOn w:val="a0"/>
    <w:qFormat/>
    <w:rsid w:val="0049388E"/>
    <w:rPr>
      <w:szCs w:val="20"/>
    </w:rPr>
  </w:style>
  <w:style w:type="paragraph" w:customStyle="1" w:styleId="a6">
    <w:name w:val="שוע"/>
    <w:basedOn w:val="a"/>
    <w:link w:val="a7"/>
    <w:qFormat/>
    <w:rsid w:val="00D00E2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" w:right="284"/>
    </w:pPr>
    <w:rPr>
      <w:szCs w:val="22"/>
    </w:rPr>
  </w:style>
  <w:style w:type="character" w:customStyle="1" w:styleId="a7">
    <w:name w:val="שוע תו"/>
    <w:link w:val="a6"/>
    <w:locked/>
    <w:rsid w:val="00D00E2D"/>
    <w:rPr>
      <w:rFonts w:ascii="Times New Roman" w:eastAsia="Times New Roman" w:hAnsi="Times New Roman" w:cs="David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461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עומר פדור</dc:creator>
  <cp:keywords/>
  <dc:description/>
  <cp:lastModifiedBy>עומר פדור</cp:lastModifiedBy>
  <cp:revision>1</cp:revision>
  <dcterms:created xsi:type="dcterms:W3CDTF">2023-04-23T13:19:00Z</dcterms:created>
  <dcterms:modified xsi:type="dcterms:W3CDTF">2023-04-23T13:27:00Z</dcterms:modified>
</cp:coreProperties>
</file>